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871C50" w:rsidRDefault="002E7022"/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16C89">
        <w:rPr>
          <w:rFonts w:ascii="Times New Roman" w:hAnsi="Times New Roman"/>
          <w:b/>
          <w:sz w:val="24"/>
          <w:szCs w:val="24"/>
          <w:u w:val="single"/>
        </w:rPr>
        <w:t>Тараз</w:t>
      </w:r>
      <w:proofErr w:type="spellEnd"/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</w:t>
            </w:r>
            <w:proofErr w:type="spellEnd"/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816C89" w:rsidP="00816C89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4 5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816C89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9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A02DA6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16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A02D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A02DA6" w:rsidRPr="00746986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250</w:t>
            </w:r>
            <w:r w:rsidRPr="00746986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16583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AC0461" w:rsidRPr="001816EE" w:rsidRDefault="00AC0461" w:rsidP="00AC0461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E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816EE" w:rsidRPr="001816EE">
        <w:rPr>
          <w:rFonts w:ascii="Times New Roman" w:hAnsi="Times New Roman" w:cs="Times New Roman"/>
          <w:b/>
          <w:sz w:val="24"/>
          <w:szCs w:val="24"/>
          <w:lang w:val="kk-KZ"/>
        </w:rPr>
        <w:t>Тараз</w:t>
      </w:r>
      <w:r w:rsidRPr="001816EE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1816EE" w:rsidRPr="001816EE">
        <w:rPr>
          <w:rFonts w:ascii="Times New Roman" w:hAnsi="Times New Roman" w:cs="Times New Roman"/>
          <w:b/>
          <w:sz w:val="24"/>
          <w:szCs w:val="24"/>
          <w:lang w:val="kk-KZ"/>
        </w:rPr>
        <w:t>Толе би 93А</w:t>
      </w:r>
      <w:r w:rsidRPr="00181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461" w:rsidRPr="001816EE" w:rsidRDefault="00AC0461" w:rsidP="00AC0461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EE">
        <w:rPr>
          <w:rFonts w:ascii="Times New Roman" w:hAnsi="Times New Roman" w:cs="Times New Roman"/>
          <w:b/>
          <w:sz w:val="24"/>
          <w:szCs w:val="24"/>
        </w:rPr>
        <w:t>БЦ</w:t>
      </w:r>
      <w:r w:rsidR="001816EE" w:rsidRPr="001816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Арай Плаза</w:t>
      </w:r>
      <w:r w:rsidRPr="001816EE">
        <w:rPr>
          <w:rFonts w:ascii="Times New Roman" w:hAnsi="Times New Roman" w:cs="Times New Roman"/>
          <w:b/>
          <w:sz w:val="24"/>
          <w:szCs w:val="24"/>
        </w:rPr>
        <w:t>, 5 этаж.</w:t>
      </w:r>
      <w:r w:rsidR="00CC2007" w:rsidRPr="00181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CD5" w:rsidRPr="00CC2007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46986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="001816EE" w:rsidRPr="00746986">
        <w:rPr>
          <w:rFonts w:ascii="Times New Roman" w:hAnsi="Times New Roman" w:cs="Times New Roman"/>
          <w:b/>
          <w:sz w:val="24"/>
          <w:szCs w:val="24"/>
        </w:rPr>
        <w:t>+77003505165</w:t>
      </w:r>
    </w:p>
    <w:p w:rsidR="00C92E4D" w:rsidRDefault="00C92E4D" w:rsidP="00C92E4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  <w:proofErr w:type="gramEnd"/>
    </w:p>
    <w:p w:rsidR="00615CD5" w:rsidRPr="00746986" w:rsidRDefault="00615CD5" w:rsidP="00AC0461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6986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sectPr w:rsidR="00615CD5" w:rsidRPr="00746986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816EE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A6465"/>
    <w:rsid w:val="003B3697"/>
    <w:rsid w:val="003C27A0"/>
    <w:rsid w:val="003C3579"/>
    <w:rsid w:val="003C6464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352D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965E2"/>
    <w:rsid w:val="006A076F"/>
    <w:rsid w:val="006A50C7"/>
    <w:rsid w:val="006B0175"/>
    <w:rsid w:val="006C1E08"/>
    <w:rsid w:val="006D68D0"/>
    <w:rsid w:val="006E26C8"/>
    <w:rsid w:val="006E2776"/>
    <w:rsid w:val="0070070F"/>
    <w:rsid w:val="00712374"/>
    <w:rsid w:val="007173ED"/>
    <w:rsid w:val="00720C83"/>
    <w:rsid w:val="00722FED"/>
    <w:rsid w:val="007273AA"/>
    <w:rsid w:val="007279D0"/>
    <w:rsid w:val="00746986"/>
    <w:rsid w:val="0076010B"/>
    <w:rsid w:val="007704F6"/>
    <w:rsid w:val="007F4533"/>
    <w:rsid w:val="007F47A1"/>
    <w:rsid w:val="008047D0"/>
    <w:rsid w:val="008133BD"/>
    <w:rsid w:val="00816C89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1AF3"/>
    <w:rsid w:val="0086303A"/>
    <w:rsid w:val="00871C50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5DB6"/>
    <w:rsid w:val="009F20FF"/>
    <w:rsid w:val="009F66AB"/>
    <w:rsid w:val="00A019A5"/>
    <w:rsid w:val="00A02DA6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53B7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1BDD"/>
    <w:rsid w:val="00B22049"/>
    <w:rsid w:val="00B24D56"/>
    <w:rsid w:val="00B275E1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92E4D"/>
    <w:rsid w:val="00CA01E3"/>
    <w:rsid w:val="00CB3711"/>
    <w:rsid w:val="00CC2007"/>
    <w:rsid w:val="00CD057A"/>
    <w:rsid w:val="00CD3131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6E8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7</cp:revision>
  <cp:lastPrinted>2024-11-06T09:19:00Z</cp:lastPrinted>
  <dcterms:created xsi:type="dcterms:W3CDTF">2024-11-25T05:31:00Z</dcterms:created>
  <dcterms:modified xsi:type="dcterms:W3CDTF">2024-12-06T05:45:00Z</dcterms:modified>
</cp:coreProperties>
</file>